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Equal Opportunities Policy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policy statement applies equally across all Supreme Group businesses (hereafter, “the Company”).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 and scope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policy sets out how the Company upholds inclusion in the workplace and it applies to all employees and to those approved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parties operating on behalf of the Company.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Policy objectives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Our people are what make the Company great coming, as they do, from a wide range of cultures and bringing with them a diverse range of experiences, talent and capabilities. Our approach to business is underpinned by a belief that all individuals should be treated fairly and have access to equal opportunities, regardless of their status.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Company’s approach is based on three key principles: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Inclusion</w:t>
      </w:r>
      <w:r w:rsidDel="00000000" w:rsidR="00000000" w:rsidRPr="00000000">
        <w:rPr>
          <w:rtl w:val="0"/>
        </w:rPr>
        <w:t xml:space="preserve"> – we create a working culture where we value the whole person and the experiences they bring to work; everyone has the opportunity to develop and professionally grow.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Equality</w:t>
      </w:r>
      <w:r w:rsidDel="00000000" w:rsidR="00000000" w:rsidRPr="00000000">
        <w:rPr>
          <w:rtl w:val="0"/>
        </w:rPr>
        <w:t xml:space="preserve"> – we promote equality by removing barriers, eliminating discrimination and ensuring equal opportunity and access for all groups of people throughout the Company at all levels.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Diversity </w:t>
      </w:r>
      <w:r w:rsidDel="00000000" w:rsidR="00000000" w:rsidRPr="00000000">
        <w:rPr>
          <w:rtl w:val="0"/>
        </w:rPr>
        <w:t xml:space="preserve">– we accept each of our employees as individuals in their own right who must believe they are valued for their contributions. 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Requirements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applicant or employee will receive less favourable treatment on the grounds of sex, race, age, ethnic origin, marital status, pregnancy and maternity, civil partnership status, any gender re-assignment, religion or belief, sexual orientation, disability or part-time/fixed-term work;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Employees will be protected from discrimination by association;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Inclusion, equality and diversity will be promoted within the workplace;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will promote a culture where employees recognise the value that an inclusive workforce brings to the business and where colleagues are treated with dignity and respect; and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Company will create an environment where anyone believing they have been subjected to discrimination, victimisation, bullying or harassment in the workplace feels safe to raise their concerns.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Responsibilities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Managers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Ensuring the policy and all supporting strategies and procedures are distributed, implemented, understood and complied with;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Leading by example in driving compliance throughout the business and, in doing so, protect the Company’s brand and reputation.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All Company employees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Carrying out their duties in line with this policy and any and all relevant associated processes and procedures;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Challenging colleague behaviour that falls short of the expectations of this policy; and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Identifying any breaches of this policy and reporting them, in the first instance, to their line manager.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Policy Review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This policy will be reviewed at least annually or sooner in the event of legislative or regulatory changes. All amendments will be communicated throughout the Company.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Signed By: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Muhammad Khan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CEO of SUPREME FACILITIES LTD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16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22"/>
      <w:gridCol w:w="1559"/>
      <w:gridCol w:w="2693"/>
      <w:gridCol w:w="2642"/>
      <w:tblGridChange w:id="0">
        <w:tblGrid>
          <w:gridCol w:w="2122"/>
          <w:gridCol w:w="1559"/>
          <w:gridCol w:w="2693"/>
          <w:gridCol w:w="2642"/>
        </w:tblGrid>
      </w:tblGridChange>
    </w:tblGrid>
    <w:tr>
      <w:trPr>
        <w:cantSplit w:val="0"/>
        <w:tblHeader w:val="0"/>
      </w:trPr>
      <w:tc>
        <w:tcPr>
          <w:gridSpan w:val="2"/>
        </w:tcPr>
        <w:p w:rsidR="00000000" w:rsidDel="00000000" w:rsidP="00000000" w:rsidRDefault="00000000" w:rsidRPr="00000000" w14:paraId="00000027">
          <w:pPr>
            <w:rPr/>
          </w:pPr>
          <w:r w:rsidDel="00000000" w:rsidR="00000000" w:rsidRPr="00000000">
            <w:rPr>
              <w:rtl w:val="0"/>
            </w:rPr>
            <w:t xml:space="preserve">Document Classification</w:t>
          </w:r>
        </w:p>
      </w:tc>
      <w:tc>
        <w:tcPr>
          <w:gridSpan w:val="2"/>
        </w:tcPr>
        <w:p w:rsidR="00000000" w:rsidDel="00000000" w:rsidP="00000000" w:rsidRDefault="00000000" w:rsidRPr="00000000" w14:paraId="00000029">
          <w:pPr>
            <w:rPr/>
          </w:pPr>
          <w:r w:rsidDel="00000000" w:rsidR="00000000" w:rsidRPr="00000000">
            <w:rPr>
              <w:rtl w:val="0"/>
            </w:rPr>
            <w:t xml:space="preserve">External</w:t>
          </w:r>
        </w:p>
      </w:tc>
    </w:tr>
    <w:tr>
      <w:trPr>
        <w:cantSplit w:val="0"/>
        <w:trHeight w:val="520.95703125" w:hRule="atLeast"/>
        <w:tblHeader w:val="0"/>
      </w:trPr>
      <w:tc>
        <w:tcPr/>
        <w:p w:rsidR="00000000" w:rsidDel="00000000" w:rsidP="00000000" w:rsidRDefault="00000000" w:rsidRPr="00000000" w14:paraId="0000002B">
          <w:pPr>
            <w:rPr/>
          </w:pPr>
          <w:r w:rsidDel="00000000" w:rsidR="00000000" w:rsidRPr="00000000">
            <w:rPr>
              <w:rtl w:val="0"/>
            </w:rPr>
            <w:t xml:space="preserve">Document Number</w:t>
          </w:r>
        </w:p>
      </w:tc>
      <w:tc>
        <w:tcPr/>
        <w:p w:rsidR="00000000" w:rsidDel="00000000" w:rsidP="00000000" w:rsidRDefault="00000000" w:rsidRPr="00000000" w14:paraId="0000002C">
          <w:pPr>
            <w:rPr/>
          </w:pPr>
          <w:r w:rsidDel="00000000" w:rsidR="00000000" w:rsidRPr="00000000">
            <w:rPr>
              <w:rtl w:val="0"/>
            </w:rPr>
            <w:t xml:space="preserve">Issue Number</w:t>
          </w:r>
        </w:p>
      </w:tc>
      <w:tc>
        <w:tcPr/>
        <w:p w:rsidR="00000000" w:rsidDel="00000000" w:rsidP="00000000" w:rsidRDefault="00000000" w:rsidRPr="00000000" w14:paraId="0000002D">
          <w:pPr>
            <w:rPr/>
          </w:pPr>
          <w:r w:rsidDel="00000000" w:rsidR="00000000" w:rsidRPr="00000000">
            <w:rPr>
              <w:rtl w:val="0"/>
            </w:rPr>
            <w:t xml:space="preserve">Last Review Date</w:t>
          </w:r>
        </w:p>
      </w:tc>
      <w:tc>
        <w:tcPr/>
        <w:p w:rsidR="00000000" w:rsidDel="00000000" w:rsidP="00000000" w:rsidRDefault="00000000" w:rsidRPr="00000000" w14:paraId="0000002E">
          <w:pPr>
            <w:rPr/>
          </w:pPr>
          <w:r w:rsidDel="00000000" w:rsidR="00000000" w:rsidRPr="00000000">
            <w:rPr>
              <w:rtl w:val="0"/>
            </w:rPr>
            <w:t xml:space="preserve">Next Review Date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2F">
          <w:pPr>
            <w:rPr/>
          </w:pPr>
          <w:r w:rsidDel="00000000" w:rsidR="00000000" w:rsidRPr="00000000">
            <w:rPr>
              <w:rtl w:val="0"/>
            </w:rPr>
            <w:t xml:space="preserve">SG-0010</w:t>
          </w:r>
        </w:p>
      </w:tc>
      <w:tc>
        <w:tcPr/>
        <w:p w:rsidR="00000000" w:rsidDel="00000000" w:rsidP="00000000" w:rsidRDefault="00000000" w:rsidRPr="00000000" w14:paraId="00000030">
          <w:pPr>
            <w:rPr/>
          </w:pPr>
          <w:r w:rsidDel="00000000" w:rsidR="00000000" w:rsidRPr="00000000">
            <w:rPr>
              <w:rtl w:val="0"/>
            </w:rPr>
            <w:t xml:space="preserve">SG-HR-0010</w:t>
          </w:r>
        </w:p>
      </w:tc>
      <w:tc>
        <w:tcPr/>
        <w:p w:rsidR="00000000" w:rsidDel="00000000" w:rsidP="00000000" w:rsidRDefault="00000000" w:rsidRPr="00000000" w14:paraId="00000031">
          <w:pPr>
            <w:rPr/>
          </w:pPr>
          <w:r w:rsidDel="00000000" w:rsidR="00000000" w:rsidRPr="00000000">
            <w:rPr>
              <w:rtl w:val="0"/>
            </w:rPr>
            <w:t xml:space="preserve">5-Jan-2026</w:t>
          </w:r>
        </w:p>
      </w:tc>
      <w:tc>
        <w:tcPr/>
        <w:p w:rsidR="00000000" w:rsidDel="00000000" w:rsidP="00000000" w:rsidRDefault="00000000" w:rsidRPr="00000000" w14:paraId="00000032">
          <w:pPr>
            <w:rPr/>
          </w:pPr>
          <w:r w:rsidDel="00000000" w:rsidR="00000000" w:rsidRPr="00000000">
            <w:rPr>
              <w:rtl w:val="0"/>
            </w:rPr>
            <w:t xml:space="preserve">5-Jan-2027</w:t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5073975</wp:posOffset>
          </wp:positionH>
          <wp:positionV relativeFrom="paragraph">
            <wp:posOffset>-200024</wp:posOffset>
          </wp:positionV>
          <wp:extent cx="657225" cy="666750"/>
          <wp:effectExtent b="0" l="0" r="0" t="0"/>
          <wp:wrapNone/>
          <wp:docPr descr="A logo of a company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logo of a company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-200024</wp:posOffset>
          </wp:positionV>
          <wp:extent cx="758190" cy="723900"/>
          <wp:effectExtent b="0" l="0" r="0" t="0"/>
          <wp:wrapNone/>
          <wp:docPr descr="A gold shield with a lion and crown&#10;&#10;Description automatically generated" id="2" name="image2.png"/>
          <a:graphic>
            <a:graphicData uri="http://schemas.openxmlformats.org/drawingml/2006/picture">
              <pic:pic>
                <pic:nvPicPr>
                  <pic:cNvPr descr="A gold shield with a lion and crown&#10;&#10;Description automatically generate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R/YaEohsLbufgOfcHKBDcKn1w==">CgMxLjA4AHIhMW1BMUxQbTNrSENVWTlpZVZZazZ6V0VyNGN4QllMSXNl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