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2977" w14:textId="140C458D" w:rsidR="00E3451E" w:rsidRPr="00B667AD" w:rsidRDefault="00F945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Flexible Working</w:t>
      </w:r>
      <w:r w:rsidR="006E33AE">
        <w:rPr>
          <w:b/>
          <w:bCs/>
          <w:sz w:val="28"/>
          <w:szCs w:val="28"/>
        </w:rPr>
        <w:t xml:space="preserve"> Policy</w:t>
      </w:r>
      <w:r w:rsidR="001B269E">
        <w:rPr>
          <w:b/>
          <w:bCs/>
          <w:sz w:val="28"/>
          <w:szCs w:val="28"/>
        </w:rPr>
        <w:t xml:space="preserve"> </w:t>
      </w:r>
    </w:p>
    <w:p w14:paraId="51C3ECE1" w14:textId="29D3E4F3" w:rsidR="00B667AD" w:rsidRDefault="00B667AD">
      <w:pPr>
        <w:rPr>
          <w:b/>
          <w:bCs/>
        </w:rPr>
      </w:pPr>
      <w:r>
        <w:rPr>
          <w:b/>
          <w:bCs/>
        </w:rPr>
        <w:t>Introduction</w:t>
      </w:r>
    </w:p>
    <w:p w14:paraId="49DD8F01" w14:textId="6F6CB562" w:rsidR="00EC7C1A" w:rsidRDefault="00B667AD">
      <w:r w:rsidRPr="00B667AD">
        <w:t>This policy</w:t>
      </w:r>
      <w:r w:rsidR="001B269E">
        <w:t xml:space="preserve"> </w:t>
      </w:r>
      <w:r w:rsidRPr="00B667AD">
        <w:t>applies equally across all Supreme Group businesses</w:t>
      </w:r>
      <w:r w:rsidR="001C63DB">
        <w:t xml:space="preserve"> (hereafter, “the Company”)</w:t>
      </w:r>
      <w:r w:rsidR="00237F1F">
        <w:t>.</w:t>
      </w:r>
    </w:p>
    <w:p w14:paraId="4587FE29" w14:textId="62FE82D6" w:rsidR="00F94544" w:rsidRPr="00C009DE" w:rsidRDefault="00F94544">
      <w:pPr>
        <w:rPr>
          <w:b/>
          <w:bCs/>
        </w:rPr>
      </w:pPr>
      <w:r w:rsidRPr="00C009DE">
        <w:rPr>
          <w:b/>
          <w:bCs/>
        </w:rPr>
        <w:t>Scope</w:t>
      </w:r>
    </w:p>
    <w:p w14:paraId="35CF4DBD" w14:textId="140AD7A2" w:rsidR="00C009DE" w:rsidRDefault="00C009DE">
      <w:r w:rsidRPr="00C009DE">
        <w:t xml:space="preserve">This policy applies to all </w:t>
      </w:r>
      <w:r>
        <w:t>Company</w:t>
      </w:r>
      <w:r w:rsidRPr="00C009DE">
        <w:t xml:space="preserve"> employees. </w:t>
      </w:r>
      <w:r>
        <w:t>It does not apply to any approved, 3</w:t>
      </w:r>
      <w:r w:rsidRPr="00C009DE">
        <w:rPr>
          <w:vertAlign w:val="superscript"/>
        </w:rPr>
        <w:t>rd</w:t>
      </w:r>
      <w:r>
        <w:t xml:space="preserve"> party </w:t>
      </w:r>
      <w:r w:rsidR="00280631">
        <w:t>workers operating on behalf of the Company.</w:t>
      </w:r>
      <w:r w:rsidRPr="00C009DE">
        <w:t xml:space="preserve"> </w:t>
      </w:r>
    </w:p>
    <w:p w14:paraId="3FB592D9" w14:textId="0B3115E7" w:rsidR="00583BC0" w:rsidRDefault="00B103A6">
      <w:r>
        <w:t>Whilst acknowledging the right for employees to</w:t>
      </w:r>
      <w:r w:rsidR="0087562B">
        <w:t xml:space="preserve"> formally</w:t>
      </w:r>
      <w:r>
        <w:t xml:space="preserve"> request </w:t>
      </w:r>
      <w:r w:rsidR="00B06A03">
        <w:t xml:space="preserve">flexible working arrangements (under the terms of the </w:t>
      </w:r>
      <w:r w:rsidR="0087562B" w:rsidRPr="0087562B">
        <w:t>Employment Relations (Flexible Working) Act 2023</w:t>
      </w:r>
      <w:r w:rsidR="0087562B">
        <w:t>) the Company</w:t>
      </w:r>
      <w:r w:rsidR="00127730">
        <w:t xml:space="preserve"> also acknowledges there are reasons why this may not be appropriate</w:t>
      </w:r>
      <w:r w:rsidR="00F56059">
        <w:t xml:space="preserve"> including</w:t>
      </w:r>
      <w:r w:rsidR="00583BC0">
        <w:t>;</w:t>
      </w:r>
    </w:p>
    <w:p w14:paraId="4893AF66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the burden of additional costs</w:t>
      </w:r>
    </w:p>
    <w:p w14:paraId="64BCBC30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an inability to reorganise work amongst existing staff</w:t>
      </w:r>
    </w:p>
    <w:p w14:paraId="378C5900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an inability to recruit additional staff</w:t>
      </w:r>
    </w:p>
    <w:p w14:paraId="1E3F2D7E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a detrimental impact on quality</w:t>
      </w:r>
    </w:p>
    <w:p w14:paraId="78C1021A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a detrimental impact on performance</w:t>
      </w:r>
    </w:p>
    <w:p w14:paraId="1F7A9CA7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a detrimental effect on ability to meet customer demand</w:t>
      </w:r>
    </w:p>
    <w:p w14:paraId="3DD87A3A" w14:textId="77777777" w:rsidR="00E54053" w:rsidRPr="00E54053" w:rsidRDefault="00E54053" w:rsidP="00E54053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insufficient work available for the periods the employee proposes to work</w:t>
      </w:r>
    </w:p>
    <w:p w14:paraId="34D5C874" w14:textId="77777777" w:rsidR="00E54053" w:rsidRPr="00E54053" w:rsidRDefault="00E54053" w:rsidP="000E7214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E54053">
        <w:rPr>
          <w:rFonts w:eastAsia="Times New Roman" w:cs="Open Sans"/>
          <w:color w:val="000000"/>
          <w:kern w:val="0"/>
          <w:lang w:eastAsia="en-GB"/>
          <w14:ligatures w14:val="none"/>
        </w:rPr>
        <w:t>planned structural changes to the employer's business</w:t>
      </w:r>
    </w:p>
    <w:p w14:paraId="0915AB3E" w14:textId="4833A9C9" w:rsidR="00E54053" w:rsidRDefault="000E7214" w:rsidP="0034763E">
      <w:pPr>
        <w:spacing w:before="240" w:after="120"/>
      </w:pPr>
      <w:r>
        <w:t xml:space="preserve">There are also qualifying grounds for employees </w:t>
      </w:r>
      <w:r w:rsidR="00D8718F">
        <w:t>wishing to apply;</w:t>
      </w:r>
    </w:p>
    <w:p w14:paraId="6CEC95D8" w14:textId="77777777" w:rsidR="006D65C8" w:rsidRDefault="008C29CC" w:rsidP="006D65C8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Employees can make no more than two requests in </w:t>
      </w:r>
      <w:r w:rsidR="000C317C">
        <w:rPr>
          <w:rFonts w:eastAsia="Times New Roman" w:cs="Open Sans"/>
          <w:color w:val="000000"/>
          <w:kern w:val="0"/>
          <w:lang w:eastAsia="en-GB"/>
          <w14:ligatures w14:val="none"/>
        </w:rPr>
        <w:t>a 12 month period.</w:t>
      </w:r>
    </w:p>
    <w:p w14:paraId="057FDB00" w14:textId="4DAC7AB7" w:rsidR="009A4163" w:rsidRPr="006D65C8" w:rsidRDefault="009A4163" w:rsidP="006D65C8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Any request must be </w:t>
      </w:r>
      <w:r w:rsidR="00777961"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made </w:t>
      </w:r>
      <w:r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>in writing</w:t>
      </w:r>
      <w:r w:rsidR="00777961"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, </w:t>
      </w:r>
      <w:r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>state that it is a statutory request for flexible working</w:t>
      </w:r>
      <w:r w:rsidR="00777961"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and </w:t>
      </w:r>
      <w:r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>must include:</w:t>
      </w:r>
    </w:p>
    <w:p w14:paraId="6A7D29B7" w14:textId="4CBDA1A4" w:rsidR="009A4163" w:rsidRPr="006D65C8" w:rsidRDefault="009A4163" w:rsidP="006177F7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>the date of the request</w:t>
      </w:r>
      <w:r w:rsidR="00777961" w:rsidRPr="006D65C8">
        <w:rPr>
          <w:rFonts w:eastAsia="Times New Roman" w:cs="Open Sans"/>
          <w:color w:val="000000"/>
          <w:kern w:val="0"/>
          <w:lang w:eastAsia="en-GB"/>
          <w14:ligatures w14:val="none"/>
        </w:rPr>
        <w:t>.</w:t>
      </w:r>
    </w:p>
    <w:p w14:paraId="5EB65308" w14:textId="2F6078F8" w:rsidR="009A4163" w:rsidRPr="006177F7" w:rsidRDefault="009A4163" w:rsidP="006177F7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>the change the employee is requesting to the terms and conditions of their</w:t>
      </w:r>
      <w:r w:rsidR="006177F7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</w:t>
      </w:r>
      <w:r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>employment in relation to their hours, times or place of work</w:t>
      </w:r>
      <w:r w:rsidR="00777961"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>.</w:t>
      </w:r>
    </w:p>
    <w:p w14:paraId="139C35EC" w14:textId="59D88AF0" w:rsidR="009A4163" w:rsidRPr="006177F7" w:rsidRDefault="009A4163" w:rsidP="006177F7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>the date the employee would like the change to come into effect</w:t>
      </w:r>
      <w:r w:rsidR="00777961"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>.</w:t>
      </w:r>
    </w:p>
    <w:p w14:paraId="6AED4D3A" w14:textId="4CEDB4F7" w:rsidR="007C1BA2" w:rsidRDefault="009A4163" w:rsidP="006177F7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if and when the employee has made a previous request for flexible working to the </w:t>
      </w:r>
      <w:r w:rsidR="007C03E4">
        <w:rPr>
          <w:rFonts w:eastAsia="Times New Roman" w:cs="Open Sans"/>
          <w:color w:val="000000"/>
          <w:kern w:val="0"/>
          <w:lang w:eastAsia="en-GB"/>
          <w14:ligatures w14:val="none"/>
        </w:rPr>
        <w:t>Company</w:t>
      </w:r>
      <w:r w:rsidR="00777961" w:rsidRPr="006177F7">
        <w:rPr>
          <w:rFonts w:eastAsia="Times New Roman" w:cs="Open Sans"/>
          <w:color w:val="000000"/>
          <w:kern w:val="0"/>
          <w:lang w:eastAsia="en-GB"/>
          <w14:ligatures w14:val="none"/>
        </w:rPr>
        <w:t>.</w:t>
      </w:r>
    </w:p>
    <w:p w14:paraId="14CA7E63" w14:textId="6E948446" w:rsidR="00C34628" w:rsidRDefault="007C03E4" w:rsidP="00C34628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7C03E4">
        <w:rPr>
          <w:rFonts w:eastAsia="Times New Roman" w:cs="Open Sans"/>
          <w:color w:val="000000"/>
          <w:kern w:val="0"/>
          <w:lang w:eastAsia="en-GB"/>
          <w14:ligatures w14:val="none"/>
        </w:rPr>
        <w:t>An employee may have only one live request for flexible working with the</w:t>
      </w:r>
      <w:r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Company</w:t>
      </w:r>
      <w:r w:rsidRPr="007C03E4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at any one time.</w:t>
      </w:r>
    </w:p>
    <w:p w14:paraId="193F003C" w14:textId="77777777" w:rsidR="008B0D9E" w:rsidRDefault="008B0D9E" w:rsidP="008B0D9E">
      <w:pPr>
        <w:spacing w:after="0" w:line="240" w:lineRule="auto"/>
        <w:ind w:left="1800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4BED1F58" w14:textId="77777777" w:rsidR="008B0D9E" w:rsidRPr="008B0D9E" w:rsidRDefault="008B0D9E" w:rsidP="008B0D9E">
      <w:pPr>
        <w:spacing w:after="0" w:line="240" w:lineRule="auto"/>
        <w:textAlignment w:val="baseline"/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 xml:space="preserve">Types of flexible working </w:t>
      </w:r>
    </w:p>
    <w:p w14:paraId="21B953D6" w14:textId="77777777" w:rsidR="008B0D9E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5B93CE30" w14:textId="5059DDAE" w:rsidR="008B0D9E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‘Flexible working’ refers to any type of non-standard working arrangement that is agreed between an employee and their line manager, and which constitutes a change to the employee’s contracted hours and/or location of work. There are a number of flexible working options, or combinations, which can be considered. The following list, though not exhaustive, summarises some of the most common arrangements. </w:t>
      </w:r>
    </w:p>
    <w:p w14:paraId="117CFDDF" w14:textId="77777777" w:rsidR="008B0D9E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23101502" w14:textId="77777777" w:rsidR="00F56059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kern w:val="0"/>
          <w:lang w:eastAsia="en-GB"/>
          <w14:ligatures w14:val="none"/>
        </w:rPr>
        <w:t>It is important to note that due to the nature of the roles the Company</w:t>
      </w:r>
      <w:r w:rsidR="004A55E1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offers and the duties those roles are required </w:t>
      </w:r>
      <w:r w:rsidR="00F56059">
        <w:rPr>
          <w:rFonts w:eastAsia="Times New Roman" w:cs="Open Sans"/>
          <w:color w:val="000000"/>
          <w:kern w:val="0"/>
          <w:lang w:eastAsia="en-GB"/>
          <w14:ligatures w14:val="none"/>
        </w:rPr>
        <w:t>to provide for the Company’s clients, flexible working arrangements may not be appropriate.</w:t>
      </w:r>
    </w:p>
    <w:p w14:paraId="35552DD4" w14:textId="1CF2B5A4" w:rsidR="002469EF" w:rsidRDefault="002469EF" w:rsidP="00953ACA">
      <w:pPr>
        <w:tabs>
          <w:tab w:val="center" w:pos="4513"/>
        </w:tabs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kern w:val="0"/>
          <w:lang w:eastAsia="en-GB"/>
          <w14:ligatures w14:val="none"/>
        </w:rPr>
        <w:lastRenderedPageBreak/>
        <w:t xml:space="preserve"> </w:t>
      </w:r>
      <w:r w:rsidR="00953ACA">
        <w:rPr>
          <w:rFonts w:eastAsia="Times New Roman" w:cs="Open Sans"/>
          <w:color w:val="000000"/>
          <w:kern w:val="0"/>
          <w:lang w:eastAsia="en-GB"/>
          <w14:ligatures w14:val="none"/>
        </w:rPr>
        <w:tab/>
      </w:r>
    </w:p>
    <w:p w14:paraId="65B36EA2" w14:textId="77777777" w:rsidR="002469EF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• </w:t>
      </w:r>
      <w:r w:rsidRPr="008B0D9E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Compressed hours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: an employee works their usual full-time hours in fewer days. There is typically no reduction of pay or pension contributions under a compressed hours arrangement, although there may be implications for the employee’s annual leave entitlement. </w:t>
      </w:r>
    </w:p>
    <w:p w14:paraId="63D67848" w14:textId="77777777" w:rsidR="002469EF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3B4465C7" w14:textId="77777777" w:rsidR="002469EF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>•</w:t>
      </w:r>
      <w:r w:rsidRPr="002469EF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 xml:space="preserve"> Flexitime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: an employee requests to vary their start and/or finish times. While a reasonable level of flexibility regarding start/finish times is feasible for many jobs, employees and managers should be mindful that any proposed arrangements are not likely to negatively impact on wellbeing or service delivery. </w:t>
      </w:r>
    </w:p>
    <w:p w14:paraId="307B9D3E" w14:textId="77777777" w:rsidR="002469EF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2F6FDD3F" w14:textId="77EF2C28" w:rsidR="002469EF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• </w:t>
      </w:r>
      <w:r w:rsidRPr="002469EF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Homeworking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: where an employee carries out their usual work at home. Employees who wish to request to work from home on particular days of the week may do so under a flexible working request. </w:t>
      </w:r>
    </w:p>
    <w:p w14:paraId="78917FDF" w14:textId="77777777" w:rsidR="002469EF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30F6D237" w14:textId="77777777" w:rsidR="002469EF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• </w:t>
      </w:r>
      <w:r w:rsidRPr="002469EF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Job sharing: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where a full-time post is divided into two (or more) part time roles and duties and responsibilities are shared. </w:t>
      </w:r>
    </w:p>
    <w:p w14:paraId="6CC9AA50" w14:textId="77777777" w:rsidR="002469EF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49486FBB" w14:textId="77777777" w:rsidR="002469EF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• </w:t>
      </w:r>
      <w:r w:rsidRPr="002469EF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Part-time working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: when an employee reduces their contracted hours to work e.g. Monday – Wednesday. This has implications for salary, pension and holiday entitlement. </w:t>
      </w:r>
    </w:p>
    <w:p w14:paraId="5E968B9C" w14:textId="77777777" w:rsidR="002469EF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778F130D" w14:textId="77777777" w:rsidR="002469EF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• </w:t>
      </w:r>
      <w:r w:rsidRPr="002469EF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Term-time working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: where an employee reduces their hours to take time off during school holidays. </w:t>
      </w:r>
    </w:p>
    <w:p w14:paraId="5149947D" w14:textId="77777777" w:rsidR="002469EF" w:rsidRDefault="002469EF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52D0BC93" w14:textId="5FAEA9ED" w:rsidR="008B0D9E" w:rsidRDefault="008B0D9E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• </w:t>
      </w:r>
      <w:r w:rsidRPr="002469EF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Transition to retirement</w:t>
      </w:r>
      <w:r w:rsidRPr="008B0D9E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: a reduction in the hours worked but involves the same or very nearly the same job responsibilities, to help support an employee’s transition to retirement. </w:t>
      </w:r>
    </w:p>
    <w:p w14:paraId="4F32895A" w14:textId="77777777" w:rsidR="00411649" w:rsidRDefault="00411649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117166A2" w14:textId="4437DBB8" w:rsidR="00411649" w:rsidRDefault="00411649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kern w:val="0"/>
          <w:lang w:eastAsia="en-GB"/>
          <w14:ligatures w14:val="none"/>
        </w:rPr>
        <w:t>All applications must be made</w:t>
      </w:r>
      <w:r w:rsidR="0076781C">
        <w:rPr>
          <w:rFonts w:eastAsia="Times New Roman" w:cs="Open Sans"/>
          <w:color w:val="000000"/>
          <w:kern w:val="0"/>
          <w:lang w:eastAsia="en-GB"/>
          <w14:ligatures w14:val="none"/>
        </w:rPr>
        <w:t>, in the approved manner, to the HR department</w:t>
      </w:r>
      <w:r w:rsidR="00504FFB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. The Company will consider all applications received and will respond </w:t>
      </w:r>
      <w:r w:rsidR="00901F81"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to the applicant </w:t>
      </w:r>
      <w:r w:rsidR="000261A6">
        <w:rPr>
          <w:rFonts w:eastAsia="Times New Roman" w:cs="Open Sans"/>
          <w:color w:val="000000"/>
          <w:kern w:val="0"/>
          <w:lang w:eastAsia="en-GB"/>
          <w14:ligatures w14:val="none"/>
        </w:rPr>
        <w:t>with a decision within a maximum period of two months.</w:t>
      </w:r>
    </w:p>
    <w:p w14:paraId="036ABAAC" w14:textId="77777777" w:rsidR="003659EC" w:rsidRDefault="003659EC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6D3739EF" w14:textId="4215153B" w:rsidR="003659EC" w:rsidRPr="00642A36" w:rsidRDefault="003659EC" w:rsidP="008B0D9E">
      <w:pPr>
        <w:spacing w:after="0" w:line="240" w:lineRule="auto"/>
        <w:textAlignment w:val="baseline"/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</w:pPr>
      <w:r w:rsidRPr="00642A36"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  <w:t>Review</w:t>
      </w:r>
    </w:p>
    <w:p w14:paraId="4A35C31E" w14:textId="77777777" w:rsidR="003659EC" w:rsidRDefault="003659EC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02372712" w14:textId="79FDD3DE" w:rsidR="006968E1" w:rsidRDefault="003659EC" w:rsidP="006968E1">
      <w:pPr>
        <w:spacing w:after="0" w:line="240" w:lineRule="auto"/>
        <w:textAlignment w:val="baseline"/>
        <w:rPr>
          <w:rFonts w:eastAsia="Times New Roman" w:cs="Open Sans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This policy will be reviewed at least annually or sooner in the event of applicable legislation </w:t>
      </w:r>
      <w:r w:rsidR="00642A36">
        <w:rPr>
          <w:rFonts w:eastAsia="Times New Roman" w:cs="Open Sans"/>
          <w:color w:val="000000"/>
          <w:kern w:val="0"/>
          <w:lang w:eastAsia="en-GB"/>
          <w14:ligatures w14:val="none"/>
        </w:rPr>
        <w:t>changing. Any amended policy will be communicated throughout the business.</w:t>
      </w:r>
      <w:r>
        <w:rPr>
          <w:rFonts w:eastAsia="Times New Roman" w:cs="Open Sans"/>
          <w:color w:val="000000"/>
          <w:kern w:val="0"/>
          <w:lang w:eastAsia="en-GB"/>
          <w14:ligatures w14:val="none"/>
        </w:rPr>
        <w:t xml:space="preserve"> </w:t>
      </w:r>
    </w:p>
    <w:p w14:paraId="0202B79E" w14:textId="77777777" w:rsidR="006968E1" w:rsidRPr="006968E1" w:rsidRDefault="006968E1" w:rsidP="006968E1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18E28C39" w14:textId="77777777" w:rsidR="006968E1" w:rsidRDefault="006968E1" w:rsidP="006968E1">
      <w:pPr>
        <w:spacing w:after="0" w:line="240" w:lineRule="auto"/>
        <w:textAlignment w:val="baseline"/>
        <w:rPr>
          <w:rFonts w:eastAsia="Times New Roman" w:cs="Open Sans"/>
          <w:b/>
          <w:bCs/>
          <w:i/>
          <w:iCs/>
          <w:color w:val="000000"/>
          <w:kern w:val="0"/>
          <w:lang w:eastAsia="en-GB"/>
          <w14:ligatures w14:val="none"/>
        </w:rPr>
      </w:pPr>
      <w:r w:rsidRPr="006968E1">
        <w:rPr>
          <w:rFonts w:eastAsia="Times New Roman" w:cs="Open Sans"/>
          <w:color w:val="000000"/>
          <w:kern w:val="0"/>
          <w:lang w:eastAsia="en-GB"/>
          <w14:ligatures w14:val="none"/>
        </w:rPr>
        <w:t>Signed By:</w:t>
      </w:r>
      <w:r w:rsidRPr="006968E1">
        <w:rPr>
          <w:rFonts w:eastAsia="Times New Roman" w:cs="Open Sans"/>
          <w:b/>
          <w:bCs/>
          <w:i/>
          <w:iCs/>
          <w:color w:val="000000"/>
          <w:kern w:val="0"/>
          <w:lang w:eastAsia="en-GB"/>
          <w14:ligatures w14:val="none"/>
        </w:rPr>
        <w:t xml:space="preserve"> Muhammad Bilal</w:t>
      </w:r>
    </w:p>
    <w:p w14:paraId="7D9F7E00" w14:textId="77777777" w:rsidR="006968E1" w:rsidRPr="006968E1" w:rsidRDefault="006968E1" w:rsidP="006968E1">
      <w:pPr>
        <w:spacing w:after="0" w:line="240" w:lineRule="auto"/>
        <w:textAlignment w:val="baseline"/>
        <w:rPr>
          <w:rFonts w:eastAsia="Times New Roman" w:cs="Open Sans"/>
          <w:i/>
          <w:iCs/>
          <w:color w:val="000000"/>
          <w:kern w:val="0"/>
          <w:lang w:eastAsia="en-GB"/>
          <w14:ligatures w14:val="none"/>
        </w:rPr>
      </w:pPr>
    </w:p>
    <w:p w14:paraId="462A2067" w14:textId="77777777" w:rsidR="006968E1" w:rsidRPr="006968E1" w:rsidRDefault="006968E1" w:rsidP="006968E1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sz w:val="20"/>
          <w:szCs w:val="20"/>
          <w:lang w:eastAsia="en-GB"/>
          <w14:ligatures w14:val="none"/>
        </w:rPr>
      </w:pPr>
      <w:r w:rsidRPr="006968E1">
        <w:rPr>
          <w:rFonts w:eastAsia="Times New Roman" w:cs="Open Sans"/>
          <w:color w:val="000000"/>
          <w:kern w:val="0"/>
          <w:sz w:val="20"/>
          <w:szCs w:val="20"/>
          <w:lang w:eastAsia="en-GB"/>
          <w14:ligatures w14:val="none"/>
        </w:rPr>
        <w:t>CEO of SUPREME FACILITIES LTD</w:t>
      </w:r>
    </w:p>
    <w:p w14:paraId="7420C96F" w14:textId="5929FB04" w:rsidR="003659EC" w:rsidRPr="008B0D9E" w:rsidRDefault="003659EC" w:rsidP="008B0D9E">
      <w:pPr>
        <w:spacing w:after="0" w:line="240" w:lineRule="auto"/>
        <w:textAlignment w:val="baseline"/>
        <w:rPr>
          <w:rFonts w:eastAsia="Times New Roman" w:cs="Open Sans"/>
          <w:color w:val="000000"/>
          <w:kern w:val="0"/>
          <w:lang w:eastAsia="en-GB"/>
          <w14:ligatures w14:val="none"/>
        </w:rPr>
      </w:pPr>
    </w:p>
    <w:p w14:paraId="48FF4F4A" w14:textId="77777777" w:rsidR="00D8718F" w:rsidRDefault="00D8718F" w:rsidP="0034763E">
      <w:pPr>
        <w:pStyle w:val="ListParagraph"/>
        <w:spacing w:before="240" w:after="0"/>
      </w:pPr>
    </w:p>
    <w:p w14:paraId="7D4E7AB7" w14:textId="77777777" w:rsidR="00C34628" w:rsidRDefault="00C34628" w:rsidP="0034763E">
      <w:pPr>
        <w:pStyle w:val="ListParagraph"/>
        <w:spacing w:before="240" w:after="0"/>
      </w:pPr>
    </w:p>
    <w:p w14:paraId="524EA8BB" w14:textId="77777777" w:rsidR="00C34628" w:rsidRDefault="00C34628" w:rsidP="0034763E">
      <w:pPr>
        <w:pStyle w:val="ListParagraph"/>
        <w:spacing w:before="240" w:after="0"/>
      </w:pPr>
    </w:p>
    <w:sectPr w:rsidR="00C3462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111A" w14:textId="77777777" w:rsidR="00EC7F3D" w:rsidRDefault="00EC7F3D" w:rsidP="00EB3430">
      <w:pPr>
        <w:spacing w:after="0" w:line="240" w:lineRule="auto"/>
      </w:pPr>
      <w:r>
        <w:separator/>
      </w:r>
    </w:p>
  </w:endnote>
  <w:endnote w:type="continuationSeparator" w:id="0">
    <w:p w14:paraId="210C1682" w14:textId="77777777" w:rsidR="00EC7F3D" w:rsidRDefault="00EC7F3D" w:rsidP="00EB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22"/>
      <w:gridCol w:w="1559"/>
      <w:gridCol w:w="2693"/>
      <w:gridCol w:w="2642"/>
    </w:tblGrid>
    <w:tr w:rsidR="00B667AD" w14:paraId="19DB8688" w14:textId="77777777" w:rsidTr="001D467B">
      <w:tc>
        <w:tcPr>
          <w:tcW w:w="3681" w:type="dxa"/>
          <w:gridSpan w:val="2"/>
        </w:tcPr>
        <w:p w14:paraId="4EAEA835" w14:textId="77777777" w:rsidR="00B667AD" w:rsidRDefault="00B667AD" w:rsidP="00B667AD">
          <w:r>
            <w:t>Document Classification</w:t>
          </w:r>
        </w:p>
      </w:tc>
      <w:tc>
        <w:tcPr>
          <w:tcW w:w="5335" w:type="dxa"/>
          <w:gridSpan w:val="2"/>
        </w:tcPr>
        <w:p w14:paraId="1D77D964" w14:textId="058AE276" w:rsidR="00B667AD" w:rsidRDefault="00C80D8E" w:rsidP="00B667AD">
          <w:r>
            <w:t>External</w:t>
          </w:r>
        </w:p>
      </w:tc>
    </w:tr>
    <w:tr w:rsidR="00B667AD" w14:paraId="16513291" w14:textId="77777777" w:rsidTr="001D467B">
      <w:tc>
        <w:tcPr>
          <w:tcW w:w="2122" w:type="dxa"/>
        </w:tcPr>
        <w:p w14:paraId="15C4C189" w14:textId="77777777" w:rsidR="00B667AD" w:rsidRDefault="00B667AD" w:rsidP="00B667AD">
          <w:r>
            <w:t>Document Number</w:t>
          </w:r>
        </w:p>
      </w:tc>
      <w:tc>
        <w:tcPr>
          <w:tcW w:w="1559" w:type="dxa"/>
        </w:tcPr>
        <w:p w14:paraId="38416C1A" w14:textId="77777777" w:rsidR="00B667AD" w:rsidRDefault="00B667AD" w:rsidP="00B667AD">
          <w:r>
            <w:t>Issue Number</w:t>
          </w:r>
        </w:p>
      </w:tc>
      <w:tc>
        <w:tcPr>
          <w:tcW w:w="2693" w:type="dxa"/>
        </w:tcPr>
        <w:p w14:paraId="40DCF84A" w14:textId="77777777" w:rsidR="00B667AD" w:rsidRDefault="00B667AD" w:rsidP="00B667AD">
          <w:r>
            <w:t>Last Review Date</w:t>
          </w:r>
        </w:p>
      </w:tc>
      <w:tc>
        <w:tcPr>
          <w:tcW w:w="2642" w:type="dxa"/>
        </w:tcPr>
        <w:p w14:paraId="782DF65C" w14:textId="77777777" w:rsidR="00B667AD" w:rsidRDefault="00B667AD" w:rsidP="00B667AD">
          <w:r>
            <w:t>Next Review Date</w:t>
          </w:r>
        </w:p>
      </w:tc>
    </w:tr>
    <w:tr w:rsidR="00B667AD" w14:paraId="7F4A23D6" w14:textId="77777777" w:rsidTr="001D467B">
      <w:tc>
        <w:tcPr>
          <w:tcW w:w="2122" w:type="dxa"/>
        </w:tcPr>
        <w:p w14:paraId="440DA3FE" w14:textId="2CCB9FAF" w:rsidR="00B667AD" w:rsidRDefault="00C80D8E" w:rsidP="00B667AD">
          <w:r>
            <w:t>SG-0012</w:t>
          </w:r>
        </w:p>
      </w:tc>
      <w:tc>
        <w:tcPr>
          <w:tcW w:w="1559" w:type="dxa"/>
        </w:tcPr>
        <w:p w14:paraId="5A590D68" w14:textId="4F933484" w:rsidR="00B667AD" w:rsidRDefault="00C80D8E" w:rsidP="00B667AD">
          <w:r>
            <w:t>SG-HR-0012</w:t>
          </w:r>
        </w:p>
      </w:tc>
      <w:tc>
        <w:tcPr>
          <w:tcW w:w="2693" w:type="dxa"/>
        </w:tcPr>
        <w:p w14:paraId="25642939" w14:textId="46F2A0C2" w:rsidR="00B667AD" w:rsidRDefault="00C80D8E" w:rsidP="00B667AD">
          <w:r>
            <w:t>Jan-202</w:t>
          </w:r>
          <w:r w:rsidR="009624AA">
            <w:t>6</w:t>
          </w:r>
        </w:p>
      </w:tc>
      <w:tc>
        <w:tcPr>
          <w:tcW w:w="2642" w:type="dxa"/>
        </w:tcPr>
        <w:p w14:paraId="0E8E2C67" w14:textId="68823F82" w:rsidR="00B667AD" w:rsidRDefault="00C80D8E" w:rsidP="00B667AD">
          <w:r>
            <w:t>Jan-202</w:t>
          </w:r>
          <w:r w:rsidR="009624AA">
            <w:t>7</w:t>
          </w:r>
        </w:p>
      </w:tc>
    </w:tr>
  </w:tbl>
  <w:p w14:paraId="502DEFA6" w14:textId="77777777" w:rsidR="00EB3430" w:rsidRDefault="00EB3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47BE" w14:textId="77777777" w:rsidR="00EC7F3D" w:rsidRDefault="00EC7F3D" w:rsidP="00EB3430">
      <w:pPr>
        <w:spacing w:after="0" w:line="240" w:lineRule="auto"/>
      </w:pPr>
      <w:r>
        <w:separator/>
      </w:r>
    </w:p>
  </w:footnote>
  <w:footnote w:type="continuationSeparator" w:id="0">
    <w:p w14:paraId="2EDCBB2C" w14:textId="77777777" w:rsidR="00EC7F3D" w:rsidRDefault="00EC7F3D" w:rsidP="00EB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5173" w14:textId="598743D3" w:rsidR="00EB3430" w:rsidRDefault="00953AC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F7BAB2" wp14:editId="611D5290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657225" cy="723900"/>
          <wp:effectExtent l="0" t="0" r="9525" b="0"/>
          <wp:wrapTopAndBottom distT="0" distB="0"/>
          <wp:docPr id="2" name="image1.pn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logo of a company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3430">
      <w:rPr>
        <w:noProof/>
      </w:rPr>
      <w:drawing>
        <wp:anchor distT="0" distB="0" distL="114300" distR="114300" simplePos="0" relativeHeight="251660288" behindDoc="0" locked="0" layoutInCell="1" allowOverlap="1" wp14:anchorId="6531D7E6" wp14:editId="058E1B81">
          <wp:simplePos x="0" y="0"/>
          <wp:positionH relativeFrom="column">
            <wp:posOffset>133350</wp:posOffset>
          </wp:positionH>
          <wp:positionV relativeFrom="page">
            <wp:posOffset>457200</wp:posOffset>
          </wp:positionV>
          <wp:extent cx="758190" cy="723900"/>
          <wp:effectExtent l="0" t="0" r="3810" b="0"/>
          <wp:wrapSquare wrapText="bothSides"/>
          <wp:docPr id="2007374880" name="Picture 1" descr="A gold shield with a lion and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74880" name="Picture 1" descr="A gold shield with a lion and crow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430">
      <w:t xml:space="preserve">                                                                                                                                                       </w:t>
    </w:r>
  </w:p>
  <w:p w14:paraId="235779BD" w14:textId="2D538A0E" w:rsidR="00EB3430" w:rsidRDefault="00EB343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239B"/>
    <w:multiLevelType w:val="hybridMultilevel"/>
    <w:tmpl w:val="32368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3DFB"/>
    <w:multiLevelType w:val="multilevel"/>
    <w:tmpl w:val="29A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4078D"/>
    <w:multiLevelType w:val="multilevel"/>
    <w:tmpl w:val="7310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B64791"/>
    <w:multiLevelType w:val="multilevel"/>
    <w:tmpl w:val="99DC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10466"/>
    <w:multiLevelType w:val="multilevel"/>
    <w:tmpl w:val="EE40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64A32"/>
    <w:multiLevelType w:val="hybridMultilevel"/>
    <w:tmpl w:val="8372252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8B4BD5"/>
    <w:multiLevelType w:val="hybridMultilevel"/>
    <w:tmpl w:val="E4C0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4057B"/>
    <w:multiLevelType w:val="hybridMultilevel"/>
    <w:tmpl w:val="DF56A2CA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47281259">
    <w:abstractNumId w:val="3"/>
  </w:num>
  <w:num w:numId="2" w16cid:durableId="1059717239">
    <w:abstractNumId w:val="4"/>
  </w:num>
  <w:num w:numId="3" w16cid:durableId="1897936976">
    <w:abstractNumId w:val="0"/>
  </w:num>
  <w:num w:numId="4" w16cid:durableId="13307318">
    <w:abstractNumId w:val="1"/>
  </w:num>
  <w:num w:numId="5" w16cid:durableId="1698315960">
    <w:abstractNumId w:val="6"/>
  </w:num>
  <w:num w:numId="6" w16cid:durableId="1547791321">
    <w:abstractNumId w:val="2"/>
  </w:num>
  <w:num w:numId="7" w16cid:durableId="930309221">
    <w:abstractNumId w:val="5"/>
  </w:num>
  <w:num w:numId="8" w16cid:durableId="1656303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30"/>
    <w:rsid w:val="000025AD"/>
    <w:rsid w:val="000261A6"/>
    <w:rsid w:val="00041215"/>
    <w:rsid w:val="000914C6"/>
    <w:rsid w:val="000A0FDC"/>
    <w:rsid w:val="000C317C"/>
    <w:rsid w:val="000E7214"/>
    <w:rsid w:val="0010734B"/>
    <w:rsid w:val="00127730"/>
    <w:rsid w:val="00140C69"/>
    <w:rsid w:val="00147249"/>
    <w:rsid w:val="00192488"/>
    <w:rsid w:val="001A1A6F"/>
    <w:rsid w:val="001B269E"/>
    <w:rsid w:val="001C63DB"/>
    <w:rsid w:val="001D0103"/>
    <w:rsid w:val="001F191E"/>
    <w:rsid w:val="00200F4F"/>
    <w:rsid w:val="002132C4"/>
    <w:rsid w:val="00237F1F"/>
    <w:rsid w:val="002469EF"/>
    <w:rsid w:val="00255056"/>
    <w:rsid w:val="00280631"/>
    <w:rsid w:val="002A699D"/>
    <w:rsid w:val="002C5EC4"/>
    <w:rsid w:val="002E7114"/>
    <w:rsid w:val="00332A35"/>
    <w:rsid w:val="00333FB6"/>
    <w:rsid w:val="0034763E"/>
    <w:rsid w:val="003659EC"/>
    <w:rsid w:val="003B338C"/>
    <w:rsid w:val="003D6411"/>
    <w:rsid w:val="003D771C"/>
    <w:rsid w:val="003F26E5"/>
    <w:rsid w:val="0040251A"/>
    <w:rsid w:val="00411649"/>
    <w:rsid w:val="00415E12"/>
    <w:rsid w:val="00416413"/>
    <w:rsid w:val="00432FCE"/>
    <w:rsid w:val="004555F8"/>
    <w:rsid w:val="00455E45"/>
    <w:rsid w:val="00497B77"/>
    <w:rsid w:val="00497DCD"/>
    <w:rsid w:val="004A55E1"/>
    <w:rsid w:val="00504FFB"/>
    <w:rsid w:val="00527789"/>
    <w:rsid w:val="0053183B"/>
    <w:rsid w:val="00545D7B"/>
    <w:rsid w:val="00571B8F"/>
    <w:rsid w:val="005820EA"/>
    <w:rsid w:val="00583BC0"/>
    <w:rsid w:val="00587C34"/>
    <w:rsid w:val="005D3727"/>
    <w:rsid w:val="005F5256"/>
    <w:rsid w:val="006177F7"/>
    <w:rsid w:val="00634674"/>
    <w:rsid w:val="00642121"/>
    <w:rsid w:val="00642A36"/>
    <w:rsid w:val="0066697F"/>
    <w:rsid w:val="006968E1"/>
    <w:rsid w:val="006A3220"/>
    <w:rsid w:val="006A5EFF"/>
    <w:rsid w:val="006D65C8"/>
    <w:rsid w:val="006E3389"/>
    <w:rsid w:val="006E33AE"/>
    <w:rsid w:val="00734141"/>
    <w:rsid w:val="007626B3"/>
    <w:rsid w:val="0076781C"/>
    <w:rsid w:val="007755D6"/>
    <w:rsid w:val="00777961"/>
    <w:rsid w:val="007A0BBE"/>
    <w:rsid w:val="007A75DD"/>
    <w:rsid w:val="007C03E4"/>
    <w:rsid w:val="007C1BA2"/>
    <w:rsid w:val="007C3F82"/>
    <w:rsid w:val="0080475E"/>
    <w:rsid w:val="00810036"/>
    <w:rsid w:val="00832E4B"/>
    <w:rsid w:val="0083688B"/>
    <w:rsid w:val="008378FA"/>
    <w:rsid w:val="00864AC5"/>
    <w:rsid w:val="00864D4D"/>
    <w:rsid w:val="0087562B"/>
    <w:rsid w:val="00887B23"/>
    <w:rsid w:val="00892143"/>
    <w:rsid w:val="008B0D9E"/>
    <w:rsid w:val="008B674D"/>
    <w:rsid w:val="008C29CC"/>
    <w:rsid w:val="008E116F"/>
    <w:rsid w:val="00901F81"/>
    <w:rsid w:val="0094348C"/>
    <w:rsid w:val="00953ACA"/>
    <w:rsid w:val="00954FCF"/>
    <w:rsid w:val="009624AA"/>
    <w:rsid w:val="00974333"/>
    <w:rsid w:val="00994B9C"/>
    <w:rsid w:val="009A4163"/>
    <w:rsid w:val="009C2134"/>
    <w:rsid w:val="009C5CE2"/>
    <w:rsid w:val="00A113B2"/>
    <w:rsid w:val="00A72137"/>
    <w:rsid w:val="00A86445"/>
    <w:rsid w:val="00AA5ED1"/>
    <w:rsid w:val="00AF3341"/>
    <w:rsid w:val="00B06A03"/>
    <w:rsid w:val="00B103A6"/>
    <w:rsid w:val="00B458D6"/>
    <w:rsid w:val="00B51E6F"/>
    <w:rsid w:val="00B62F60"/>
    <w:rsid w:val="00B667AD"/>
    <w:rsid w:val="00B76ECA"/>
    <w:rsid w:val="00BC77EB"/>
    <w:rsid w:val="00C009DE"/>
    <w:rsid w:val="00C23478"/>
    <w:rsid w:val="00C242DC"/>
    <w:rsid w:val="00C34628"/>
    <w:rsid w:val="00C34B51"/>
    <w:rsid w:val="00C55C02"/>
    <w:rsid w:val="00C5669E"/>
    <w:rsid w:val="00C67EB6"/>
    <w:rsid w:val="00C80D8E"/>
    <w:rsid w:val="00C90744"/>
    <w:rsid w:val="00C92A7E"/>
    <w:rsid w:val="00CA30C8"/>
    <w:rsid w:val="00CC5929"/>
    <w:rsid w:val="00D24870"/>
    <w:rsid w:val="00D30EEE"/>
    <w:rsid w:val="00D324CF"/>
    <w:rsid w:val="00D35B5F"/>
    <w:rsid w:val="00D428F4"/>
    <w:rsid w:val="00D439C3"/>
    <w:rsid w:val="00D43BCB"/>
    <w:rsid w:val="00D47BBF"/>
    <w:rsid w:val="00D8718F"/>
    <w:rsid w:val="00D915DC"/>
    <w:rsid w:val="00DA1716"/>
    <w:rsid w:val="00DA3C83"/>
    <w:rsid w:val="00DB6738"/>
    <w:rsid w:val="00DF75CB"/>
    <w:rsid w:val="00E3451E"/>
    <w:rsid w:val="00E42AAE"/>
    <w:rsid w:val="00E54053"/>
    <w:rsid w:val="00E97C42"/>
    <w:rsid w:val="00EA316C"/>
    <w:rsid w:val="00EB3430"/>
    <w:rsid w:val="00EC7C1A"/>
    <w:rsid w:val="00EC7F3D"/>
    <w:rsid w:val="00EE616C"/>
    <w:rsid w:val="00F40D8C"/>
    <w:rsid w:val="00F56059"/>
    <w:rsid w:val="00F94544"/>
    <w:rsid w:val="00FA1FE6"/>
    <w:rsid w:val="00FD654E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CFC0F"/>
  <w15:chartTrackingRefBased/>
  <w15:docId w15:val="{8DC29251-C4E8-4D90-BC9A-89D3B57A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4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30"/>
  </w:style>
  <w:style w:type="paragraph" w:styleId="Footer">
    <w:name w:val="footer"/>
    <w:basedOn w:val="Normal"/>
    <w:link w:val="FooterChar"/>
    <w:uiPriority w:val="99"/>
    <w:unhideWhenUsed/>
    <w:rsid w:val="00EB3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30"/>
  </w:style>
  <w:style w:type="table" w:styleId="TableGrid">
    <w:name w:val="Table Grid"/>
    <w:basedOn w:val="TableNormal"/>
    <w:uiPriority w:val="39"/>
    <w:rsid w:val="00EB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Admin Support</cp:lastModifiedBy>
  <cp:revision>3</cp:revision>
  <cp:lastPrinted>2025-07-21T15:57:00Z</cp:lastPrinted>
  <dcterms:created xsi:type="dcterms:W3CDTF">2026-02-16T14:55:00Z</dcterms:created>
  <dcterms:modified xsi:type="dcterms:W3CDTF">2026-05-18T11:49:00Z</dcterms:modified>
</cp:coreProperties>
</file>